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Oi" w:cs="Oi" w:eastAsia="Oi" w:hAnsi="Oi"/>
          <w:b w:val="1"/>
          <w:sz w:val="24"/>
          <w:szCs w:val="24"/>
        </w:rPr>
      </w:pPr>
      <w:r w:rsidDel="00000000" w:rsidR="00000000" w:rsidRPr="00000000">
        <w:rPr>
          <w:rtl w:val="0"/>
        </w:rPr>
      </w:r>
    </w:p>
    <w:p w:rsidR="00000000" w:rsidDel="00000000" w:rsidP="00000000" w:rsidRDefault="00000000" w:rsidRPr="00000000" w14:paraId="00000002">
      <w:pPr>
        <w:pStyle w:val="Title"/>
        <w:spacing w:after="240" w:before="240" w:line="240" w:lineRule="auto"/>
        <w:jc w:val="center"/>
        <w:rPr>
          <w:b w:val="1"/>
          <w:sz w:val="28"/>
          <w:szCs w:val="28"/>
        </w:rPr>
      </w:pPr>
      <w:bookmarkStart w:colFirst="0" w:colLast="0" w:name="_heading=h.xbduk8tqoo5" w:id="0"/>
      <w:bookmarkEnd w:id="0"/>
      <w:r w:rsidDel="00000000" w:rsidR="00000000" w:rsidRPr="00000000">
        <w:rPr>
          <w:b w:val="1"/>
          <w:sz w:val="28"/>
          <w:szCs w:val="28"/>
          <w:rtl w:val="0"/>
        </w:rPr>
        <w:t xml:space="preserve">Rodar con libertad y conciencia: un llamado en el Día Internacional de la Educación Vial</w:t>
      </w:r>
    </w:p>
    <w:p w:rsidR="00000000" w:rsidDel="00000000" w:rsidP="00000000" w:rsidRDefault="00000000" w:rsidRPr="00000000" w14:paraId="00000003">
      <w:pPr>
        <w:spacing w:line="240" w:lineRule="auto"/>
        <w:rPr>
          <w:rFonts w:ascii="Oi" w:cs="Oi" w:eastAsia="Oi" w:hAnsi="Oi"/>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Este 5 de octubre se conmemora el Día Internacional de la Educación Vial, una fecha que recuerda a los motociclistas la importancia de conducir con equipo de seguridad, respetar las normas de tránsito y apostar por la prevención en cada trayecto.</w:t>
      </w:r>
    </w:p>
    <w:p w:rsidR="00000000" w:rsidDel="00000000" w:rsidP="00000000" w:rsidRDefault="00000000" w:rsidRPr="00000000" w14:paraId="00000005">
      <w:pPr>
        <w:numPr>
          <w:ilvl w:val="0"/>
          <w:numId w:val="1"/>
        </w:numPr>
        <w:spacing w:line="240" w:lineRule="auto"/>
        <w:ind w:left="720" w:hanging="36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Royal Enfield comparte recomendaciones clave para promover la educación vial entre motociclistas, reforzando principios de seguridad que protegen tanto a quienes conducen como a quienes comparten la vía. </w:t>
      </w:r>
    </w:p>
    <w:p w:rsidR="00000000" w:rsidDel="00000000" w:rsidP="00000000" w:rsidRDefault="00000000" w:rsidRPr="00000000" w14:paraId="00000006">
      <w:pPr>
        <w:spacing w:line="240" w:lineRule="auto"/>
        <w:ind w:left="720" w:firstLine="0"/>
        <w:jc w:val="both"/>
        <w:rPr>
          <w:rFonts w:ascii="Oi" w:cs="Oi" w:eastAsia="Oi" w:hAnsi="Oi"/>
          <w:b w:val="0"/>
          <w:i w:val="1"/>
          <w:sz w:val="20"/>
          <w:szCs w:val="20"/>
        </w:rPr>
      </w:pPr>
      <w:r w:rsidDel="00000000" w:rsidR="00000000" w:rsidRPr="00000000">
        <w:rPr>
          <w:rtl w:val="0"/>
        </w:rPr>
      </w:r>
    </w:p>
    <w:p w:rsidR="00000000" w:rsidDel="00000000" w:rsidP="00000000" w:rsidRDefault="00000000" w:rsidRPr="00000000" w14:paraId="00000007">
      <w:pPr>
        <w:pStyle w:val="Heading3"/>
        <w:spacing w:after="240" w:before="240" w:lineRule="auto"/>
        <w:jc w:val="both"/>
        <w:rPr>
          <w:b w:val="1"/>
          <w:sz w:val="20"/>
          <w:szCs w:val="20"/>
        </w:rPr>
      </w:pPr>
      <w:bookmarkStart w:colFirst="0" w:colLast="0" w:name="_heading=h.j5r7xlexk585" w:id="1"/>
      <w:bookmarkEnd w:id="1"/>
      <w:r w:rsidDel="00000000" w:rsidR="00000000" w:rsidRPr="00000000">
        <w:rPr>
          <w:b w:val="1"/>
          <w:color w:val="000000"/>
          <w:sz w:val="20"/>
          <w:szCs w:val="20"/>
          <w:rtl w:val="0"/>
        </w:rPr>
        <w:t xml:space="preserve">Ciudad de México, 2 de octubre de 2025.- </w:t>
      </w:r>
      <w:r w:rsidDel="00000000" w:rsidR="00000000" w:rsidRPr="00000000">
        <w:rPr>
          <w:color w:val="000000"/>
          <w:sz w:val="20"/>
          <w:szCs w:val="20"/>
          <w:rtl w:val="0"/>
        </w:rPr>
        <w:t xml:space="preserve">La seguridad en las calles es un tema que involucra a todos: peatones, ciclistas, automovilistas y motociclistas. Cada 5 de octubre, se celebra el </w:t>
      </w:r>
      <w:r w:rsidDel="00000000" w:rsidR="00000000" w:rsidRPr="00000000">
        <w:rPr>
          <w:i w:val="1"/>
          <w:color w:val="000000"/>
          <w:sz w:val="20"/>
          <w:szCs w:val="20"/>
          <w:rtl w:val="0"/>
        </w:rPr>
        <w:t xml:space="preserve">Día Internacional de la Educación Vial </w:t>
      </w:r>
      <w:r w:rsidDel="00000000" w:rsidR="00000000" w:rsidRPr="00000000">
        <w:rPr>
          <w:color w:val="000000"/>
          <w:sz w:val="20"/>
          <w:szCs w:val="20"/>
          <w:rtl w:val="0"/>
        </w:rPr>
        <w:t xml:space="preserve">recordándonos la importancia de fomentar una cultura de respeto y responsabilidad, cuyo compromiso no se limita a conocer las reglas de tránsito, sino a aplicarlas con empatía y conciencia en cada trayecto.</w:t>
      </w:r>
      <w:r w:rsidDel="00000000" w:rsidR="00000000" w:rsidRPr="00000000">
        <w:rPr>
          <w:rtl w:val="0"/>
        </w:rPr>
      </w:r>
    </w:p>
    <w:p w:rsidR="00000000" w:rsidDel="00000000" w:rsidP="00000000" w:rsidRDefault="00000000" w:rsidRPr="00000000" w14:paraId="00000008">
      <w:pPr>
        <w:spacing w:after="0" w:before="0" w:lineRule="auto"/>
        <w:jc w:val="both"/>
        <w:rPr>
          <w:sz w:val="20"/>
          <w:szCs w:val="20"/>
          <w:highlight w:val="white"/>
        </w:rPr>
      </w:pPr>
      <w:r w:rsidDel="00000000" w:rsidR="00000000" w:rsidRPr="00000000">
        <w:rPr>
          <w:sz w:val="20"/>
          <w:szCs w:val="20"/>
          <w:rtl w:val="0"/>
        </w:rPr>
        <w:t xml:space="preserve">Al ser un referente de la industria, en Royal Enfield asumimos un firme compromiso con la seguridad vial, promoviendo la concientización sobre el uso de equipo de protección e impulsando una cultura en la comunidad biker con el fin de disminuir accidentes y proteger a terceros. Sabemos que aún hay camino por recorrer en México, y por eso queremos ser parte activa de este cambio. Esta acción formó parte del </w:t>
      </w:r>
      <w:r w:rsidDel="00000000" w:rsidR="00000000" w:rsidRPr="00000000">
        <w:rPr>
          <w:i w:val="1"/>
          <w:sz w:val="20"/>
          <w:szCs w:val="20"/>
          <w:rtl w:val="0"/>
        </w:rPr>
        <w:t xml:space="preserve">One Ride</w:t>
      </w:r>
      <w:r w:rsidDel="00000000" w:rsidR="00000000" w:rsidRPr="00000000">
        <w:rPr>
          <w:sz w:val="20"/>
          <w:szCs w:val="20"/>
          <w:rtl w:val="0"/>
        </w:rPr>
        <w:t xml:space="preserve">, uno de nuestros eventos más importantes a nivel global, que celebra el espíritu de comunidad y responsabilidad en el motociclismo.” </w:t>
      </w:r>
      <w:r w:rsidDel="00000000" w:rsidR="00000000" w:rsidRPr="00000000">
        <w:rPr>
          <w:b w:val="1"/>
          <w:sz w:val="20"/>
          <w:szCs w:val="20"/>
          <w:highlight w:val="white"/>
          <w:rtl w:val="0"/>
        </w:rPr>
        <w:t xml:space="preserve">Eugenio Figueroa, Head of Marketing de Royal Enfield para México y Perú.</w:t>
      </w: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b w:val="0"/>
          <w:i w:val="0"/>
          <w:strike w:val="0"/>
          <w:color w:val="000000"/>
          <w:sz w:val="20"/>
          <w:szCs w:val="20"/>
          <w:u w:val="none"/>
        </w:rPr>
      </w:pPr>
      <w:r w:rsidDel="00000000" w:rsidR="00000000" w:rsidRPr="00000000">
        <w:rPr>
          <w:rFonts w:ascii="Arial" w:cs="Arial" w:eastAsia="Arial" w:hAnsi="Arial"/>
          <w:b w:val="0"/>
          <w:i w:val="0"/>
          <w:strike w:val="0"/>
          <w:color w:val="000000"/>
          <w:sz w:val="20"/>
          <w:szCs w:val="20"/>
          <w:u w:val="none"/>
          <w:rtl w:val="0"/>
        </w:rPr>
        <w:t xml:space="preserve">Con esto en mente, la educación vial no se entiende como una lista de normas, sino como un hábito cotidiano que define la manera en que compartimos la vía pública. Un motociclista responsable no solo protege su vida, también aporta a la seguridad de los demás. Por ello, Royal Enfield hace un llamado de rodar con libertad y conciencia tomando en cuenta las siguientes recomendaciones:</w:t>
      </w:r>
    </w:p>
    <w:p w:rsidR="00000000" w:rsidDel="00000000" w:rsidP="00000000" w:rsidRDefault="00000000" w:rsidRPr="00000000" w14:paraId="0000000A">
      <w:pPr>
        <w:spacing w:after="240" w:before="240" w:line="276" w:lineRule="auto"/>
        <w:ind w:left="0" w:right="0" w:firstLine="0"/>
        <w:jc w:val="both"/>
        <w:rPr>
          <w:rFonts w:ascii="Arial" w:cs="Arial" w:eastAsia="Arial" w:hAnsi="Arial"/>
          <w:b w:val="1"/>
          <w:i w:val="0"/>
          <w:strike w:val="0"/>
          <w:color w:val="000000"/>
          <w:sz w:val="20"/>
          <w:szCs w:val="20"/>
          <w:u w:val="none"/>
        </w:rPr>
      </w:pPr>
      <w:r w:rsidDel="00000000" w:rsidR="00000000" w:rsidRPr="00000000">
        <w:rPr>
          <w:rFonts w:ascii="Arial" w:cs="Arial" w:eastAsia="Arial" w:hAnsi="Arial"/>
          <w:b w:val="1"/>
          <w:i w:val="0"/>
          <w:strike w:val="0"/>
          <w:color w:val="000000"/>
          <w:sz w:val="20"/>
          <w:szCs w:val="20"/>
          <w:u w:val="none"/>
          <w:rtl w:val="0"/>
        </w:rPr>
        <w:t xml:space="preserve">A dónde quieras, pero con casco y protección</w:t>
      </w:r>
    </w:p>
    <w:p w:rsidR="00000000" w:rsidDel="00000000" w:rsidP="00000000" w:rsidRDefault="00000000" w:rsidRPr="00000000" w14:paraId="0000000B">
      <w:pPr>
        <w:spacing w:after="0" w:before="0" w:lineRule="auto"/>
        <w:jc w:val="both"/>
        <w:rPr>
          <w:rFonts w:ascii="Helvetica Neue" w:cs="Helvetica Neue" w:eastAsia="Helvetica Neue" w:hAnsi="Helvetica Neue"/>
          <w:b w:val="0"/>
          <w:i w:val="0"/>
          <w:sz w:val="19"/>
          <w:szCs w:val="19"/>
        </w:rPr>
      </w:pPr>
      <w:r w:rsidDel="00000000" w:rsidR="00000000" w:rsidRPr="00000000">
        <w:rPr>
          <w:rFonts w:ascii="Arial" w:cs="Arial" w:eastAsia="Arial" w:hAnsi="Arial"/>
          <w:b w:val="0"/>
          <w:i w:val="0"/>
          <w:strike w:val="0"/>
          <w:color w:val="000000"/>
          <w:sz w:val="20"/>
          <w:szCs w:val="20"/>
          <w:u w:val="none"/>
          <w:rtl w:val="0"/>
        </w:rPr>
        <w:t xml:space="preserve">El compromiso con la seguridad inicia antes de encender el motor. El casco homologado con certificaciones internacionales tales como </w:t>
      </w:r>
      <w:hyperlink r:id="rId7">
        <w:r w:rsidDel="00000000" w:rsidR="00000000" w:rsidRPr="00000000">
          <w:rPr>
            <w:rFonts w:ascii="Arial" w:cs="Arial" w:eastAsia="Arial" w:hAnsi="Arial"/>
            <w:b w:val="0"/>
            <w:i w:val="0"/>
            <w:strike w:val="0"/>
            <w:color w:val="0000ff"/>
            <w:sz w:val="20"/>
            <w:szCs w:val="20"/>
            <w:u w:val="single"/>
            <w:rtl w:val="0"/>
          </w:rPr>
          <w:t xml:space="preserve">ISI, ECE y DOT</w:t>
        </w:r>
      </w:hyperlink>
      <w:r w:rsidDel="00000000" w:rsidR="00000000" w:rsidRPr="00000000">
        <w:rPr>
          <w:rFonts w:ascii="Arial" w:cs="Arial" w:eastAsia="Arial" w:hAnsi="Arial"/>
          <w:b w:val="0"/>
          <w:i w:val="0"/>
          <w:strike w:val="0"/>
          <w:color w:val="000000"/>
          <w:sz w:val="20"/>
          <w:szCs w:val="20"/>
          <w:u w:val="none"/>
          <w:rtl w:val="0"/>
        </w:rPr>
        <w:t xml:space="preserve">, además de prendas certificadas bajo el estándar CE Level 2, el nivel más alto de protección vigente (</w:t>
      </w:r>
      <w:r w:rsidDel="00000000" w:rsidR="00000000" w:rsidRPr="00000000">
        <w:rPr>
          <w:rFonts w:ascii="Helvetica Neue" w:cs="Helvetica Neue" w:eastAsia="Helvetica Neue" w:hAnsi="Helvetica Neue"/>
          <w:b w:val="0"/>
          <w:i w:val="0"/>
          <w:sz w:val="19"/>
          <w:szCs w:val="19"/>
          <w:rtl w:val="0"/>
        </w:rPr>
        <w:t xml:space="preserve">Comisión Económica de las Naciones Unidas para Europa), l</w:t>
      </w:r>
      <w:r w:rsidDel="00000000" w:rsidR="00000000" w:rsidRPr="00000000">
        <w:rPr>
          <w:rFonts w:ascii="Arial" w:cs="Arial" w:eastAsia="Arial" w:hAnsi="Arial"/>
          <w:b w:val="0"/>
          <w:i w:val="0"/>
          <w:strike w:val="0"/>
          <w:color w:val="000000"/>
          <w:sz w:val="20"/>
          <w:szCs w:val="20"/>
          <w:u w:val="none"/>
          <w:rtl w:val="0"/>
        </w:rPr>
        <w:t xml:space="preserve">os guantes de cuero y la chamarra con protecciones </w:t>
      </w:r>
      <w:r w:rsidDel="00000000" w:rsidR="00000000" w:rsidRPr="00000000">
        <w:rPr>
          <w:rFonts w:ascii="Arial" w:cs="Arial" w:eastAsia="Arial" w:hAnsi="Arial"/>
          <w:b w:val="0"/>
          <w:i w:val="0"/>
          <w:sz w:val="20"/>
          <w:szCs w:val="20"/>
          <w:rtl w:val="0"/>
        </w:rPr>
        <w:t xml:space="preserve">son aliados indispensables que brindan confianza y respaldo en cada trayecto, ofreciendo la mejor protección ante cualquier imprevisto.</w:t>
      </w:r>
      <w:r w:rsidDel="00000000" w:rsidR="00000000" w:rsidRPr="00000000">
        <w:rPr>
          <w:rtl w:val="0"/>
        </w:rPr>
      </w:r>
    </w:p>
    <w:p w:rsidR="00000000" w:rsidDel="00000000" w:rsidP="00000000" w:rsidRDefault="00000000" w:rsidRPr="00000000" w14:paraId="0000000C">
      <w:pPr>
        <w:spacing w:after="0" w:before="0" w:lineRule="auto"/>
        <w:jc w:val="both"/>
        <w:rPr>
          <w:rFonts w:ascii="Helvetica Neue" w:cs="Helvetica Neue" w:eastAsia="Helvetica Neue" w:hAnsi="Helvetica Neue"/>
          <w:b w:val="0"/>
          <w:i w:val="0"/>
          <w:sz w:val="19"/>
          <w:szCs w:val="19"/>
        </w:rPr>
      </w:pPr>
      <w:r w:rsidDel="00000000" w:rsidR="00000000" w:rsidRPr="00000000">
        <w:rPr>
          <w:rtl w:val="0"/>
        </w:rPr>
      </w:r>
    </w:p>
    <w:p w:rsidR="00000000" w:rsidDel="00000000" w:rsidP="00000000" w:rsidRDefault="00000000" w:rsidRPr="00000000" w14:paraId="0000000D">
      <w:pPr>
        <w:spacing w:after="0" w:before="0" w:lineRule="auto"/>
        <w:jc w:val="both"/>
        <w:rPr>
          <w:rFonts w:ascii="Arial" w:cs="Arial" w:eastAsia="Arial" w:hAnsi="Arial"/>
          <w:b w:val="1"/>
          <w:i w:val="0"/>
          <w:strike w:val="0"/>
          <w:color w:val="000000"/>
          <w:sz w:val="20"/>
          <w:szCs w:val="20"/>
          <w:u w:val="none"/>
        </w:rPr>
      </w:pPr>
      <w:r w:rsidDel="00000000" w:rsidR="00000000" w:rsidRPr="00000000">
        <w:rPr>
          <w:rFonts w:ascii="Arial" w:cs="Arial" w:eastAsia="Arial" w:hAnsi="Arial"/>
          <w:b w:val="1"/>
          <w:i w:val="0"/>
          <w:strike w:val="0"/>
          <w:color w:val="000000"/>
          <w:sz w:val="20"/>
          <w:szCs w:val="20"/>
          <w:u w:val="none"/>
          <w:rtl w:val="0"/>
        </w:rPr>
        <w:t xml:space="preserve">Rodar con responsabilidad compartida </w:t>
      </w:r>
    </w:p>
    <w:p w:rsidR="00000000" w:rsidDel="00000000" w:rsidP="00000000" w:rsidRDefault="00000000" w:rsidRPr="00000000" w14:paraId="0000000E">
      <w:pPr>
        <w:spacing w:after="240" w:before="240" w:lineRule="auto"/>
        <w:jc w:val="both"/>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Rodar implica asumir un rol activo en la seguridad de todas las personas que usamos la vía pública. Contar con un seguro vigente no solo es una obligación legal, sino una forma de proteger la vida propia y la de los demás ante cualquier imprevisto. De igual forma, respetar a los más vulnerables —peatones, personas con discapacidad, ciclistas y vehículos no motorizados— es esencial para una convivencia vial justa y segura.</w:t>
      </w:r>
    </w:p>
    <w:p w:rsidR="00000000" w:rsidDel="00000000" w:rsidP="00000000" w:rsidRDefault="00000000" w:rsidRPr="00000000" w14:paraId="0000000F">
      <w:pPr>
        <w:spacing w:after="240" w:before="240" w:lineRule="auto"/>
        <w:jc w:val="both"/>
        <w:rPr/>
      </w:pPr>
      <w:r w:rsidDel="00000000" w:rsidR="00000000" w:rsidRPr="00000000">
        <w:rPr>
          <w:rFonts w:ascii="Arial" w:cs="Arial" w:eastAsia="Arial" w:hAnsi="Arial"/>
          <w:sz w:val="20"/>
          <w:szCs w:val="20"/>
          <w:rtl w:val="0"/>
        </w:rPr>
        <w:t xml:space="preserve">La velocidad también juega un papel determinante. De acuerdo con la </w:t>
      </w:r>
      <w:hyperlink r:id="rId8">
        <w:r w:rsidDel="00000000" w:rsidR="00000000" w:rsidRPr="00000000">
          <w:rPr>
            <w:rFonts w:ascii="Arial" w:cs="Arial" w:eastAsia="Arial" w:hAnsi="Arial"/>
            <w:b w:val="0"/>
            <w:i w:val="0"/>
            <w:strike w:val="0"/>
            <w:color w:val="0000ff"/>
            <w:sz w:val="20"/>
            <w:szCs w:val="20"/>
            <w:u w:val="single"/>
            <w:rtl w:val="0"/>
          </w:rPr>
          <w:t xml:space="preserve">SEMOVI</w:t>
        </w:r>
      </w:hyperlink>
      <w:r w:rsidDel="00000000" w:rsidR="00000000" w:rsidRPr="00000000">
        <w:rPr>
          <w:rFonts w:ascii="Arial" w:cs="Arial" w:eastAsia="Arial" w:hAnsi="Arial"/>
          <w:sz w:val="20"/>
          <w:szCs w:val="20"/>
          <w:rtl w:val="0"/>
        </w:rPr>
        <w:t xml:space="preserve">, los límites establecidos son: 80 km/h en vías de acceso controlado, 50 km/h en vías primarias, 40 km/h en vías secundarias y 20 km/h en zonas escolares y hospitalarias. Estos lineamientos no son solo reglas: son medidas para cuidar vidas y reducir riesgos en entornos compartidos. Cada decisión al volante refleja nuestro compromiso con una movilidad más humana, empática y segura para todos.</w:t>
      </w:r>
      <w:r w:rsidDel="00000000" w:rsidR="00000000" w:rsidRPr="00000000">
        <w:rPr>
          <w:rtl w:val="0"/>
        </w:rPr>
      </w:r>
    </w:p>
    <w:p w:rsidR="00000000" w:rsidDel="00000000" w:rsidP="00000000" w:rsidRDefault="00000000" w:rsidRPr="00000000" w14:paraId="00000010">
      <w:pPr>
        <w:spacing w:after="240" w:before="240" w:lineRule="auto"/>
        <w:jc w:val="both"/>
        <w:rPr>
          <w:rFonts w:ascii="Arial" w:cs="Arial" w:eastAsia="Arial" w:hAnsi="Arial"/>
          <w:b w:val="1"/>
          <w:i w:val="0"/>
          <w:strike w:val="0"/>
          <w:color w:val="000000"/>
          <w:sz w:val="20"/>
          <w:szCs w:val="20"/>
          <w:u w:val="none"/>
        </w:rPr>
      </w:pPr>
      <w:r w:rsidDel="00000000" w:rsidR="00000000" w:rsidRPr="00000000">
        <w:rPr>
          <w:rFonts w:ascii="Arial" w:cs="Arial" w:eastAsia="Arial" w:hAnsi="Arial"/>
          <w:b w:val="1"/>
          <w:i w:val="0"/>
          <w:strike w:val="0"/>
          <w:color w:val="000000"/>
          <w:sz w:val="20"/>
          <w:szCs w:val="20"/>
          <w:u w:val="none"/>
          <w:rtl w:val="0"/>
        </w:rPr>
        <w:t xml:space="preserve">Prevención y mantenimiento, un hábito de seguridad</w:t>
      </w:r>
    </w:p>
    <w:p w:rsidR="00000000" w:rsidDel="00000000" w:rsidP="00000000" w:rsidRDefault="00000000" w:rsidRPr="00000000" w14:paraId="00000011">
      <w:pPr>
        <w:spacing w:after="240" w:before="240" w:lineRule="auto"/>
        <w:jc w:val="both"/>
        <w:rPr>
          <w:rFonts w:ascii="Arial" w:cs="Arial" w:eastAsia="Arial" w:hAnsi="Arial"/>
          <w:b w:val="0"/>
          <w:i w:val="0"/>
          <w:strike w:val="0"/>
          <w:color w:val="000000"/>
          <w:sz w:val="20"/>
          <w:szCs w:val="20"/>
          <w:u w:val="none"/>
        </w:rPr>
      </w:pPr>
      <w:r w:rsidDel="00000000" w:rsidR="00000000" w:rsidRPr="00000000">
        <w:rPr>
          <w:rFonts w:ascii="Arial" w:cs="Arial" w:eastAsia="Arial" w:hAnsi="Arial"/>
          <w:b w:val="0"/>
          <w:i w:val="0"/>
          <w:strike w:val="0"/>
          <w:color w:val="000000"/>
          <w:sz w:val="20"/>
          <w:szCs w:val="20"/>
          <w:u w:val="none"/>
          <w:rtl w:val="0"/>
        </w:rPr>
        <w:t xml:space="preserve">Revisar aceite, frenos, llantas o luces es parte de la cultura de anticipación que define a un motociclista responsable. En México, Royal Enfield cuenta con 2</w:t>
      </w:r>
      <w:r w:rsidDel="00000000" w:rsidR="00000000" w:rsidRPr="00000000">
        <w:rPr>
          <w:sz w:val="20"/>
          <w:szCs w:val="20"/>
          <w:rtl w:val="0"/>
        </w:rPr>
        <w:t xml:space="preserve">5</w:t>
      </w:r>
      <w:r w:rsidDel="00000000" w:rsidR="00000000" w:rsidRPr="00000000">
        <w:rPr>
          <w:rFonts w:ascii="Arial" w:cs="Arial" w:eastAsia="Arial" w:hAnsi="Arial"/>
          <w:b w:val="0"/>
          <w:i w:val="0"/>
          <w:strike w:val="0"/>
          <w:color w:val="000000"/>
          <w:sz w:val="20"/>
          <w:szCs w:val="20"/>
          <w:u w:val="none"/>
          <w:rtl w:val="0"/>
        </w:rPr>
        <w:t xml:space="preserve"> agencias exclusivas que ofrecen refacciones originales, servicio técnico especializado y atención personalizada. Además, con el </w:t>
      </w:r>
      <w:hyperlink r:id="rId9">
        <w:r w:rsidDel="00000000" w:rsidR="00000000" w:rsidRPr="00000000">
          <w:rPr>
            <w:rFonts w:ascii="Arial" w:cs="Arial" w:eastAsia="Arial" w:hAnsi="Arial"/>
            <w:b w:val="1"/>
            <w:i w:val="0"/>
            <w:strike w:val="0"/>
            <w:color w:val="1155cc"/>
            <w:sz w:val="20"/>
            <w:szCs w:val="20"/>
            <w:u w:val="none"/>
            <w:rtl w:val="0"/>
          </w:rPr>
          <w:t xml:space="preserve">Borderless Warranty Program</w:t>
        </w:r>
      </w:hyperlink>
      <w:r w:rsidDel="00000000" w:rsidR="00000000" w:rsidRPr="00000000">
        <w:rPr>
          <w:rFonts w:ascii="Arial" w:cs="Arial" w:eastAsia="Arial" w:hAnsi="Arial"/>
          <w:b w:val="0"/>
          <w:i w:val="0"/>
          <w:strike w:val="0"/>
          <w:color w:val="000000"/>
          <w:sz w:val="20"/>
          <w:szCs w:val="20"/>
          <w:u w:val="none"/>
          <w:rtl w:val="0"/>
        </w:rPr>
        <w:t xml:space="preserve">, todos los modelos nuevos incluyen tres años de garantía sin límite de kilometraje, válida en más de 70 países, incluyendo México. Esta cobertura global brinda la certeza de rodar con confianza y seguridad, reafirmando el compromiso de la marca con la calidad, la confianza y el espíritu de aventura que caracteriza al motociclismo puro.</w:t>
      </w:r>
    </w:p>
    <w:p w:rsidR="00000000" w:rsidDel="00000000" w:rsidP="00000000" w:rsidRDefault="00000000" w:rsidRPr="00000000" w14:paraId="00000012">
      <w:pPr>
        <w:spacing w:after="240" w:before="240" w:lineRule="auto"/>
        <w:jc w:val="both"/>
        <w:rPr>
          <w:rFonts w:ascii="Arial" w:cs="Arial" w:eastAsia="Arial" w:hAnsi="Arial"/>
          <w:b w:val="0"/>
          <w:i w:val="0"/>
          <w:strike w:val="0"/>
          <w:color w:val="000000"/>
          <w:sz w:val="20"/>
          <w:szCs w:val="20"/>
          <w:u w:val="none"/>
        </w:rPr>
      </w:pPr>
      <w:r w:rsidDel="00000000" w:rsidR="00000000" w:rsidRPr="00000000">
        <w:rPr>
          <w:rFonts w:ascii="Arial" w:cs="Arial" w:eastAsia="Arial" w:hAnsi="Arial"/>
          <w:b w:val="0"/>
          <w:i w:val="0"/>
          <w:strike w:val="0"/>
          <w:color w:val="000000"/>
          <w:sz w:val="20"/>
          <w:szCs w:val="20"/>
          <w:u w:val="none"/>
          <w:rtl w:val="0"/>
        </w:rPr>
        <w:t xml:space="preserve">La educación vial, en conclusión, es una práctica diaria que va más allá del conocimiento: es responsabilidad, empatía y prevención. Y para quienes viven el motociclismo puro, la libertad de rodar siempre debe ir acompañada de la certeza de hacerlo con respeto.</w:t>
      </w:r>
    </w:p>
    <w:p w:rsidR="00000000" w:rsidDel="00000000" w:rsidP="00000000" w:rsidRDefault="00000000" w:rsidRPr="00000000" w14:paraId="00000013">
      <w:pPr>
        <w:widowControl w:val="0"/>
        <w:spacing w:line="240" w:lineRule="auto"/>
        <w:ind w:left="-90" w:firstLine="0"/>
        <w:jc w:val="both"/>
        <w:rPr>
          <w:b w:val="1"/>
          <w:sz w:val="16"/>
          <w:szCs w:val="16"/>
        </w:rPr>
      </w:pPr>
      <w:r w:rsidDel="00000000" w:rsidR="00000000" w:rsidRPr="00000000">
        <w:rPr>
          <w:b w:val="1"/>
          <w:sz w:val="16"/>
          <w:szCs w:val="16"/>
          <w:rtl w:val="0"/>
        </w:rPr>
        <w:t xml:space="preserve">Acerca de Royal Enfield:</w:t>
      </w:r>
    </w:p>
    <w:p w:rsidR="00000000" w:rsidDel="00000000" w:rsidP="00000000" w:rsidRDefault="00000000" w:rsidRPr="00000000" w14:paraId="00000014">
      <w:pPr>
        <w:widowControl w:val="0"/>
        <w:spacing w:line="240" w:lineRule="auto"/>
        <w:ind w:left="-90" w:firstLine="0"/>
        <w:jc w:val="both"/>
        <w:rPr>
          <w:sz w:val="16"/>
          <w:szCs w:val="16"/>
        </w:rPr>
      </w:pPr>
      <w:r w:rsidDel="00000000" w:rsidR="00000000" w:rsidRPr="00000000">
        <w:rPr>
          <w:rtl w:val="0"/>
        </w:rPr>
      </w:r>
    </w:p>
    <w:p w:rsidR="00000000" w:rsidDel="00000000" w:rsidP="00000000" w:rsidRDefault="00000000" w:rsidRPr="00000000" w14:paraId="00000015">
      <w:pPr>
        <w:spacing w:after="240" w:before="240" w:lineRule="auto"/>
        <w:jc w:val="both"/>
        <w:rPr>
          <w:sz w:val="16"/>
          <w:szCs w:val="16"/>
        </w:rPr>
      </w:pPr>
      <w:r w:rsidDel="00000000" w:rsidR="00000000" w:rsidRPr="00000000">
        <w:rPr>
          <w:sz w:val="16"/>
          <w:szCs w:val="16"/>
          <w:rtl w:val="0"/>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0000000" w:rsidDel="00000000" w:rsidP="00000000" w:rsidRDefault="00000000" w:rsidRPr="00000000" w14:paraId="00000016">
      <w:pPr>
        <w:spacing w:after="240" w:before="240" w:lineRule="auto"/>
        <w:jc w:val="both"/>
        <w:rPr>
          <w:sz w:val="16"/>
          <w:szCs w:val="16"/>
        </w:rPr>
      </w:pPr>
      <w:r w:rsidDel="00000000" w:rsidR="00000000" w:rsidRPr="00000000">
        <w:rPr>
          <w:sz w:val="16"/>
          <w:szCs w:val="16"/>
          <w:rtl w:val="0"/>
        </w:rPr>
        <w:t xml:space="preserve">Royal Enfield ha ampliado su portafolio premium con la introducción de su línea de vehículos eléctricos, representada por la nueva marca Flying Flea, que incluye dos modelos: el Flying Flea C6, de estilo clásico, y el Flying Flea S6, con diseño tipo Scrambler. A esta oferta se suman otros modelos destacados como la Scram 440, Bear 650, Classic 650, Guerrilla 450, Hunter 350, Meteor 350, Super Meteor 650, Interceptor 650, Continental GT 650, Shotgun 650, el nuevo turismo de aventuras Himalayan, la Scram 411 ADV Crossover y los icónicos Bullet 350, Classic 350 y Goan Classic 350. </w:t>
      </w:r>
    </w:p>
    <w:p w:rsidR="00000000" w:rsidDel="00000000" w:rsidP="00000000" w:rsidRDefault="00000000" w:rsidRPr="00000000" w14:paraId="00000017">
      <w:pPr>
        <w:spacing w:after="240" w:before="240" w:lineRule="auto"/>
        <w:jc w:val="both"/>
        <w:rPr>
          <w:sz w:val="16"/>
          <w:szCs w:val="16"/>
        </w:rPr>
      </w:pPr>
      <w:r w:rsidDel="00000000" w:rsidR="00000000" w:rsidRPr="00000000">
        <w:rPr>
          <w:sz w:val="16"/>
          <w:szCs w:val="16"/>
          <w:rtl w:val="0"/>
        </w:rPr>
        <w:t xml:space="preserve">Royal Enfield, una división de Eicher Motors Limited, opera a través de más de 2000 tiendas en las principales ciudades y pueblos de la India y a través de casi 850 tiendas en más de 60 países de todo el mundo. Royal Enfield también cuenta con dos centros técnicos de primer nivel, en Bruntingthorpe, Reino Unido, y en Chennai, India. Las dos instalaciones de producción de última generación de la empresa están ubicadas en Oragadam y Vallam Vadagal, cerca de Chennai. En todo el mundo, Royal Enfield cuenta con seis modernas instalaciones de ensamblaje de CKD en Bangladesh, Nepal, Brasil, Tailandia, Argentina y Colombia.</w:t>
      </w:r>
    </w:p>
    <w:p w:rsidR="00000000" w:rsidDel="00000000" w:rsidP="00000000" w:rsidRDefault="00000000" w:rsidRPr="00000000" w14:paraId="00000018">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19">
      <w:pPr>
        <w:widowControl w:val="0"/>
        <w:shd w:fill="ffffff" w:val="clear"/>
        <w:spacing w:after="0" w:before="0" w:line="240" w:lineRule="auto"/>
        <w:ind w:left="15" w:firstLine="0"/>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1"/>
          <w:i w:val="0"/>
          <w:smallCaps w:val="0"/>
          <w:color w:val="000000"/>
          <w:sz w:val="18"/>
          <w:szCs w:val="18"/>
          <w:rtl w:val="0"/>
        </w:rPr>
        <w:t xml:space="preserve">Contacto de prensa:</w:t>
      </w:r>
      <w:r w:rsidDel="00000000" w:rsidR="00000000" w:rsidRPr="00000000">
        <w:rPr>
          <w:rFonts w:ascii="Arial" w:cs="Arial" w:eastAsia="Arial" w:hAnsi="Arial"/>
          <w:b w:val="0"/>
          <w:i w:val="0"/>
          <w:smallCaps w:val="0"/>
          <w:color w:val="000000"/>
          <w:sz w:val="18"/>
          <w:szCs w:val="18"/>
          <w:rtl w:val="0"/>
        </w:rPr>
        <w:t xml:space="preserve">  </w:t>
      </w:r>
    </w:p>
    <w:p w:rsidR="00000000" w:rsidDel="00000000" w:rsidP="00000000" w:rsidRDefault="00000000" w:rsidRPr="00000000" w14:paraId="0000001A">
      <w:pPr>
        <w:widowControl w:val="0"/>
        <w:shd w:fill="ffffff" w:val="clear"/>
        <w:spacing w:after="0" w:before="0" w:line="240" w:lineRule="auto"/>
        <w:ind w:left="15" w:firstLine="0"/>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Marco Polo Zúñiga </w:t>
      </w:r>
    </w:p>
    <w:p w:rsidR="00000000" w:rsidDel="00000000" w:rsidP="00000000" w:rsidRDefault="00000000" w:rsidRPr="00000000" w14:paraId="0000001B">
      <w:pPr>
        <w:widowControl w:val="0"/>
        <w:shd w:fill="ffffff" w:val="clear"/>
        <w:spacing w:after="0" w:before="0" w:line="240" w:lineRule="auto"/>
        <w:ind w:left="15" w:firstLine="15"/>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PR | Another Company  </w:t>
      </w:r>
    </w:p>
    <w:p w:rsidR="00000000" w:rsidDel="00000000" w:rsidP="00000000" w:rsidRDefault="00000000" w:rsidRPr="00000000" w14:paraId="0000001C">
      <w:pPr>
        <w:widowControl w:val="0"/>
        <w:shd w:fill="ffffff" w:val="clear"/>
        <w:spacing w:after="0" w:before="0" w:line="240" w:lineRule="auto"/>
        <w:ind w:left="15" w:firstLine="15"/>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Cel. 55 5100 1814  </w:t>
      </w:r>
    </w:p>
    <w:p w:rsidR="00000000" w:rsidDel="00000000" w:rsidP="00000000" w:rsidRDefault="00000000" w:rsidRPr="00000000" w14:paraId="0000001D">
      <w:pPr>
        <w:widowControl w:val="0"/>
        <w:shd w:fill="ffffff" w:val="clear"/>
        <w:spacing w:after="0" w:before="0" w:line="240" w:lineRule="auto"/>
        <w:ind w:left="15" w:firstLine="15"/>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E-mail: </w:t>
      </w:r>
      <w:hyperlink r:id="rId10">
        <w:r w:rsidDel="00000000" w:rsidR="00000000" w:rsidRPr="00000000">
          <w:rPr>
            <w:rFonts w:ascii="Arial" w:cs="Arial" w:eastAsia="Arial" w:hAnsi="Arial"/>
            <w:b w:val="0"/>
            <w:i w:val="0"/>
            <w:smallCaps w:val="0"/>
            <w:strike w:val="0"/>
            <w:color w:val="467886"/>
            <w:sz w:val="18"/>
            <w:szCs w:val="18"/>
            <w:u w:val="single"/>
            <w:rtl w:val="0"/>
          </w:rPr>
          <w:t xml:space="preserve">marco.zuniga@another.co</w:t>
        </w:r>
      </w:hyperlink>
      <w:r w:rsidDel="00000000" w:rsidR="00000000" w:rsidRPr="00000000">
        <w:rPr>
          <w:rFonts w:ascii="Arial" w:cs="Arial" w:eastAsia="Arial" w:hAnsi="Arial"/>
          <w:b w:val="0"/>
          <w:i w:val="0"/>
          <w:smallCaps w:val="0"/>
          <w:color w:val="000000"/>
          <w:sz w:val="18"/>
          <w:szCs w:val="18"/>
          <w:rtl w:val="0"/>
        </w:rPr>
        <w:t xml:space="preserve"> </w:t>
      </w:r>
    </w:p>
    <w:p w:rsidR="00000000" w:rsidDel="00000000" w:rsidP="00000000" w:rsidRDefault="00000000" w:rsidRPr="00000000" w14:paraId="0000001E">
      <w:pPr>
        <w:widowControl w:val="0"/>
        <w:spacing w:line="240" w:lineRule="auto"/>
        <w:ind w:left="-90" w:firstLine="0"/>
        <w:jc w:val="both"/>
        <w:rPr>
          <w:rFonts w:ascii="Oi" w:cs="Oi" w:eastAsia="Oi" w:hAnsi="Oi"/>
          <w:b w:val="1"/>
          <w:sz w:val="18"/>
          <w:szCs w:val="18"/>
        </w:rPr>
      </w:pPr>
      <w:r w:rsidDel="00000000" w:rsidR="00000000" w:rsidRPr="00000000">
        <w:rPr>
          <w:rtl w:val="0"/>
        </w:rPr>
      </w:r>
    </w:p>
    <w:p w:rsidR="00000000" w:rsidDel="00000000" w:rsidP="00000000" w:rsidRDefault="00000000" w:rsidRPr="00000000" w14:paraId="0000001F">
      <w:pPr>
        <w:widowControl w:val="0"/>
        <w:spacing w:line="240" w:lineRule="auto"/>
        <w:ind w:left="-90" w:firstLine="0"/>
        <w:jc w:val="both"/>
        <w:rPr>
          <w:rFonts w:ascii="Oi" w:cs="Oi" w:eastAsia="Oi" w:hAnsi="Oi"/>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i">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-1162047</wp:posOffset>
          </wp:positionH>
          <wp:positionV relativeFrom="paragraph">
            <wp:posOffset>-342898</wp:posOffset>
          </wp:positionV>
          <wp:extent cx="8066205" cy="823913"/>
          <wp:effectExtent b="0" l="0" r="0" t="0"/>
          <wp:wrapNone/>
          <wp:docPr id="2" name="image1.png"/>
          <a:graphic>
            <a:graphicData uri="http://schemas.openxmlformats.org/drawingml/2006/picture">
              <pic:pic>
                <pic:nvPicPr>
                  <pic:cNvPr id="0" name="image1.png"/>
                  <pic:cNvPicPr preferRelativeResize="0"/>
                </pic:nvPicPr>
                <pic:blipFill>
                  <a:blip r:embed="rId1"/>
                  <a:srcRect b="-12643" l="0" r="0" t="12643"/>
                  <a:stretch>
                    <a:fillRect/>
                  </a:stretch>
                </pic:blipFill>
                <pic:spPr>
                  <a:xfrm>
                    <a:off x="0" y="0"/>
                    <a:ext cx="8066205"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normaltextrun" w:customStyle="1">
    <w:name w:val="normaltextrun"/>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eop" w:customStyle="1">
    <w:name w:val="eop"/>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Hyperlink">
    <w:name w:val="Hyperlink"/>
    <w:basedOn w:val="Fuentedeprrafopredeter"/>
    <w:uiPriority w:val="99"/>
    <w:unhideWhenUsed w:val="1"/>
    <w:rsid w:val="22202F8F"/>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rco.zuniga@another.co" TargetMode="External"/><Relationship Id="rId9" Type="http://schemas.openxmlformats.org/officeDocument/2006/relationships/hyperlink" Target="https://royalenfieldmx.com/blog/garantia-global-borderless-warranty-progra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oyalenfieldmx.com/producto/ropa/cascos/casco-street-prime-divider/" TargetMode="External"/><Relationship Id="rId8" Type="http://schemas.openxmlformats.org/officeDocument/2006/relationships/hyperlink" Target="https://tramites.cdmx.gob.mx/cursos/public/pdf/RT2021CDM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YeRME6CSGPCGK1u8XnSZjJ7Fw==">CgMxLjAyDWgueGJkdWs4dHFvbzUyDmguajVyN3hsZXhrNTg1OAByITFmSFlDaGl4QnZsU0I5blpCdm1heXpyam50R0MteGcycg==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